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15529" w14:textId="77777777" w:rsidR="003D067D" w:rsidRDefault="003D067D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6FE87457" w14:textId="3055734D" w:rsidR="003D067D" w:rsidRPr="003D067D" w:rsidRDefault="003D067D" w:rsidP="003D067D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  <w:r w:rsidRPr="003D067D">
        <w:rPr>
          <w:rFonts w:eastAsia="Times New Roman" w:cs="Times New Roman"/>
          <w:noProof/>
          <w:lang w:val="hr-HR" w:eastAsia="hr-HR"/>
        </w:rPr>
        <w:drawing>
          <wp:anchor distT="0" distB="0" distL="114300" distR="114300" simplePos="0" relativeHeight="251659264" behindDoc="0" locked="0" layoutInCell="1" allowOverlap="1" wp14:anchorId="6E43A0A4" wp14:editId="33769B94">
            <wp:simplePos x="0" y="0"/>
            <wp:positionH relativeFrom="column">
              <wp:posOffset>828675</wp:posOffset>
            </wp:positionH>
            <wp:positionV relativeFrom="paragraph">
              <wp:posOffset>126365</wp:posOffset>
            </wp:positionV>
            <wp:extent cx="501650" cy="639445"/>
            <wp:effectExtent l="0" t="0" r="0" b="8255"/>
            <wp:wrapSquare wrapText="bothSides"/>
            <wp:docPr id="143640206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15FF">
        <w:rPr>
          <w:rFonts w:ascii="Arial" w:eastAsia="Times New Roman" w:hAnsi="Arial" w:cs="Arial"/>
          <w:lang w:val="de-DE" w:eastAsia="hr-HR"/>
        </w:rPr>
        <w:t>PRIJEDLOG</w:t>
      </w:r>
    </w:p>
    <w:p w14:paraId="43C4238B" w14:textId="77777777" w:rsidR="003D067D" w:rsidRPr="003D067D" w:rsidRDefault="003D067D" w:rsidP="003D067D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14:paraId="569461BD" w14:textId="77777777" w:rsidR="003D067D" w:rsidRPr="003D067D" w:rsidRDefault="003D067D" w:rsidP="003D0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de-DE" w:eastAsia="hr-HR"/>
        </w:rPr>
      </w:pPr>
      <w:r w:rsidRPr="003D067D">
        <w:rPr>
          <w:rFonts w:ascii="Times New Roman" w:eastAsia="Times New Roman" w:hAnsi="Times New Roman" w:cs="Times New Roman"/>
          <w:sz w:val="20"/>
          <w:szCs w:val="24"/>
          <w:lang w:val="de-DE" w:eastAsia="hr-HR"/>
        </w:rPr>
        <w:t xml:space="preserve">   </w:t>
      </w:r>
    </w:p>
    <w:p w14:paraId="15766C20" w14:textId="77777777" w:rsidR="003D067D" w:rsidRPr="003D067D" w:rsidRDefault="003D067D" w:rsidP="003D0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de-DE" w:eastAsia="hr-HR"/>
        </w:rPr>
      </w:pPr>
    </w:p>
    <w:p w14:paraId="7B1EC0A4" w14:textId="77777777" w:rsidR="003D067D" w:rsidRPr="003D067D" w:rsidRDefault="003D067D" w:rsidP="003D0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de-DE" w:eastAsia="hr-HR"/>
        </w:rPr>
      </w:pPr>
    </w:p>
    <w:p w14:paraId="65D15C8C" w14:textId="77777777" w:rsidR="003D067D" w:rsidRPr="003D067D" w:rsidRDefault="003D067D" w:rsidP="003D0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de-DE" w:eastAsia="hr-HR"/>
        </w:rPr>
      </w:pPr>
    </w:p>
    <w:p w14:paraId="2BD84233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     REPUBLIKA HRVATSKA</w:t>
      </w:r>
    </w:p>
    <w:p w14:paraId="2270621D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     MEĐIMURSKA ŽUPANIJA    </w:t>
      </w:r>
    </w:p>
    <w:p w14:paraId="4C70C63B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eastAsia="Times New Roman" w:cs="Times New Roman"/>
          <w:noProof/>
          <w:szCs w:val="24"/>
          <w:lang w:val="hr-HR" w:eastAsia="hr-HR"/>
        </w:rPr>
        <w:drawing>
          <wp:anchor distT="0" distB="0" distL="114300" distR="114300" simplePos="0" relativeHeight="251660288" behindDoc="0" locked="0" layoutInCell="1" allowOverlap="1" wp14:anchorId="683B5B19" wp14:editId="4822C239">
            <wp:simplePos x="0" y="0"/>
            <wp:positionH relativeFrom="column">
              <wp:posOffset>-74295</wp:posOffset>
            </wp:positionH>
            <wp:positionV relativeFrom="paragraph">
              <wp:posOffset>135890</wp:posOffset>
            </wp:positionV>
            <wp:extent cx="583565" cy="685800"/>
            <wp:effectExtent l="0" t="0" r="6985" b="0"/>
            <wp:wrapSquare wrapText="bothSides"/>
            <wp:docPr id="96518725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     </w:t>
      </w:r>
    </w:p>
    <w:p w14:paraId="1D719B27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   </w:t>
      </w:r>
    </w:p>
    <w:p w14:paraId="2A59F937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</w:t>
      </w:r>
      <w:proofErr w:type="gramStart"/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>OPĆINA  DEKANOVEC</w:t>
      </w:r>
      <w:proofErr w:type="gramEnd"/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</w:t>
      </w:r>
    </w:p>
    <w:p w14:paraId="58BA88D9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OPĆINSKO VIJEĆE</w:t>
      </w:r>
    </w:p>
    <w:p w14:paraId="0720CCD2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</w:p>
    <w:p w14:paraId="105E3B8E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</w:p>
    <w:p w14:paraId="0A1F70F5" w14:textId="77777777" w:rsidR="003D067D" w:rsidRPr="003D067D" w:rsidRDefault="003D067D" w:rsidP="003D067D">
      <w:pPr>
        <w:spacing w:after="0" w:line="240" w:lineRule="auto"/>
        <w:ind w:left="283" w:right="203"/>
        <w:rPr>
          <w:rFonts w:ascii="Times New Roman" w:eastAsia="Times New Roman" w:hAnsi="Times New Roman" w:cs="Times New Roman"/>
          <w:bCs/>
          <w:szCs w:val="24"/>
          <w:lang w:val="hr-HR" w:eastAsia="hr-HR"/>
        </w:rPr>
      </w:pPr>
      <w:r w:rsidRPr="003D067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  KLASA: 024-01/24-01/02</w:t>
      </w:r>
    </w:p>
    <w:p w14:paraId="733D2D95" w14:textId="0EF66974" w:rsidR="003D067D" w:rsidRPr="003D067D" w:rsidRDefault="003D067D" w:rsidP="003D067D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3D067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ab/>
        <w:t xml:space="preserve">       URBROJ: 2109-20-02-24-</w:t>
      </w:r>
      <w:r w:rsidR="00D523B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7</w:t>
      </w:r>
    </w:p>
    <w:p w14:paraId="0D0AB161" w14:textId="77777777" w:rsidR="003D067D" w:rsidRPr="003D067D" w:rsidRDefault="003D067D" w:rsidP="003D067D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3D067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             Dekanovec, 28.05.2024.</w:t>
      </w:r>
    </w:p>
    <w:p w14:paraId="67BFD224" w14:textId="77777777" w:rsidR="003D067D" w:rsidRDefault="003D067D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0C186D27" w14:textId="38461AC9" w:rsidR="003E29C6" w:rsidRPr="00EE3EEE" w:rsidRDefault="00E70CB0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Na temelju članka </w:t>
      </w:r>
      <w:r w:rsidR="00D523B1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113.a Zakona o prostornom uređenju („Narodne novine“ broj 153/13, 65/17, 114/18, 39/19, 98/19 i 67/23), u daljnjem tekstu: Zakon, te temeljem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</w:t>
      </w:r>
      <w:r w:rsidR="003E29C6"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članka 31. Statuta Općine Dekanovec (Službeni glasnik Međimurske županije broj 3/18, 10/20, 6/21</w:t>
      </w:r>
      <w:r w:rsidR="00D523B1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, 4/22</w:t>
      </w:r>
      <w:r w:rsidR="003E29C6"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), Općinsko vijeće Općine Dekanovec na 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16</w:t>
      </w:r>
      <w:r w:rsidR="003E29C6"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. sjednici održanoj 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28</w:t>
      </w:r>
      <w:r w:rsidR="003E29C6"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.0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5</w:t>
      </w:r>
      <w:r w:rsidR="003E29C6"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.202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4</w:t>
      </w:r>
      <w:r w:rsidR="003E29C6"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 godine, donijelo je</w:t>
      </w:r>
    </w:p>
    <w:p w14:paraId="20202E9D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0DA8F9EB" w14:textId="729173BA" w:rsidR="003E29C6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ODLUKU</w:t>
      </w:r>
    </w:p>
    <w:p w14:paraId="594C0402" w14:textId="11A855D3" w:rsidR="003E29C6" w:rsidRPr="00EE3EEE" w:rsidRDefault="003E29C6" w:rsidP="00D523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o </w:t>
      </w:r>
      <w:r w:rsidR="00D523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transformaciji Prostornog plana uređenja Općine Dekanovec</w:t>
      </w:r>
    </w:p>
    <w:p w14:paraId="5442979B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39FE44DF" w14:textId="77777777" w:rsidR="00D523B1" w:rsidRDefault="00D523B1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bookmarkStart w:id="0" w:name="_Hlk76987836"/>
    </w:p>
    <w:p w14:paraId="55B4F753" w14:textId="3D2D4CBA" w:rsidR="00D523B1" w:rsidRDefault="00D523B1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Opće odredbe</w:t>
      </w:r>
    </w:p>
    <w:p w14:paraId="19BEF36C" w14:textId="6AA4F76D" w:rsidR="003E29C6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1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1DD2D248" w14:textId="77777777" w:rsidR="00BB0F35" w:rsidRPr="00EE3EEE" w:rsidRDefault="00BB0F35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4D8D2F1B" w14:textId="2903E64B" w:rsidR="003E29C6" w:rsidRDefault="00D523B1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Donosi se Odluka o transformaciji Prostornog plana uređenja Općine Dekanovec, u daljnjem tekstu: Odluka.</w:t>
      </w:r>
    </w:p>
    <w:p w14:paraId="308BE30B" w14:textId="624BFAF8" w:rsidR="00D523B1" w:rsidRDefault="00D523B1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Donošenjem ove Odluke započinje postupak transformacije Prostornog plana uređenja Općine Dekanovec („Službeni glasnik Međimurske županije“ broj---), u daljnjem tekstu: transformacija Plana. </w:t>
      </w:r>
    </w:p>
    <w:p w14:paraId="3462FF5C" w14:textId="184FA6A9" w:rsidR="00D523B1" w:rsidRDefault="00D523B1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Nositelj transformacije Plana je Općine Dekanovec, Jedinstveni upravni odjel, u daljnjem tekstu: Nositelj izrade.</w:t>
      </w:r>
    </w:p>
    <w:p w14:paraId="5B7DFABC" w14:textId="488E8682" w:rsidR="00D523B1" w:rsidRDefault="00D523B1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Odgovorna osoba Nositelja izrade je čelnik tijela iz stavka 3. ovoga članka.</w:t>
      </w:r>
    </w:p>
    <w:p w14:paraId="6FA8992B" w14:textId="77777777" w:rsidR="00D523B1" w:rsidRDefault="00D523B1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2A9E163D" w14:textId="2B203257" w:rsidR="00D523B1" w:rsidRPr="00D523B1" w:rsidRDefault="00D523B1" w:rsidP="00D523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 w:rsidRPr="00D523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>Pravna osnova za transformaciju Plana</w:t>
      </w:r>
    </w:p>
    <w:bookmarkEnd w:id="0"/>
    <w:p w14:paraId="220D72E7" w14:textId="77777777" w:rsidR="003E29C6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2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2F7B649E" w14:textId="77777777" w:rsidR="00BB0F35" w:rsidRPr="00EE3EEE" w:rsidRDefault="00BB0F35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78FDCAC0" w14:textId="0B149A67" w:rsidR="003E29C6" w:rsidRDefault="00D523B1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Postupak transformacije Plana temelji se na odredbama članka 113.a Zakona, u skladu s Pravilnikom o prostornim planovima („Narodne novine“ broj 153/23), u daljnjem tekstu: Pravilnik.</w:t>
      </w:r>
    </w:p>
    <w:p w14:paraId="6F58521D" w14:textId="77777777" w:rsidR="00D523B1" w:rsidRDefault="00D523B1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4E944A95" w14:textId="5E3DE32C" w:rsidR="00D523B1" w:rsidRPr="00D523B1" w:rsidRDefault="00D523B1" w:rsidP="00D523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 w:rsidRPr="00D523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>Razlozi transformacije Plana, ciljevi i programska polazišta</w:t>
      </w:r>
    </w:p>
    <w:p w14:paraId="40240BD6" w14:textId="77777777" w:rsidR="003E29C6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3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5C299239" w14:textId="77777777" w:rsidR="00BB0F35" w:rsidRPr="00EE3EEE" w:rsidRDefault="00BB0F35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414A31F1" w14:textId="5DF7F5A5" w:rsidR="00E70CB0" w:rsidRDefault="00D523B1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Ovom Odlukom određuju se razlozi, ciljevi i programska polazišta za transformaciju Plana.</w:t>
      </w:r>
    </w:p>
    <w:p w14:paraId="2EF9E568" w14:textId="1E68C747" w:rsidR="00D523B1" w:rsidRDefault="00D523B1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Razlozi za transformaciju Plana proizlaze iz Zakona kojim je dana mogućnost provedbe postupka transformacije kao procesa prelaska Plana iz analognog u digitalni oblik uz digitalnu transformaciju poslovnih procesa u sustavu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ePlanovi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</w:t>
      </w:r>
    </w:p>
    <w:p w14:paraId="1ED3156C" w14:textId="0DC16EE9" w:rsidR="00D523B1" w:rsidRDefault="00D523B1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Cilj transformacije Plana je izrada i donošenje digitalnog oblika Plana sa svojstvima i sadržajima pridruženih sukladno Pravilniku.</w:t>
      </w:r>
    </w:p>
    <w:p w14:paraId="6F46592F" w14:textId="2385A7D7" w:rsidR="00BB0F35" w:rsidRDefault="00BB0F35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Programska polazišta u postupku transformacije Plana su važeća prostorno planska rješenja određena Planom koja se u cijelosti zadržavaju tj. u postupku transformacije Plana ne mogu se izmijeniti prostorno planska rješenja određena Planom.</w:t>
      </w:r>
    </w:p>
    <w:p w14:paraId="50776DF2" w14:textId="77777777" w:rsidR="00BB0F35" w:rsidRDefault="00BB0F35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719886C6" w14:textId="77777777" w:rsidR="00BB0F35" w:rsidRDefault="00BB0F35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578F423" w14:textId="77777777" w:rsidR="00BB0F35" w:rsidRDefault="00BB0F35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5121AAA2" w14:textId="77777777" w:rsidR="00BB0F35" w:rsidRDefault="00BB0F35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5E854FC6" w14:textId="77777777" w:rsidR="00BB0F35" w:rsidRDefault="00BB0F35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5D474481" w14:textId="3E38E09E" w:rsidR="00BB0F35" w:rsidRDefault="00BB0F35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5CC8B12F" w14:textId="4891D763" w:rsidR="00BB0F35" w:rsidRPr="00BB0F35" w:rsidRDefault="00BB0F35" w:rsidP="00BB0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 w:rsidRPr="00BB0F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>Obuhvat Plana</w:t>
      </w:r>
    </w:p>
    <w:p w14:paraId="36B68188" w14:textId="77777777" w:rsidR="003E29C6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4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1E29349F" w14:textId="77777777" w:rsidR="00BB0F35" w:rsidRPr="00EE3EEE" w:rsidRDefault="00BB0F35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12941C25" w14:textId="48FE92A0" w:rsidR="003E29C6" w:rsidRDefault="00BB0F35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Granice obuhvata transformacije Plana identične su granicama obuhvata Plana.</w:t>
      </w:r>
    </w:p>
    <w:p w14:paraId="200A8D55" w14:textId="3BE84187" w:rsidR="00BB0F35" w:rsidRDefault="00BB0F35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Izmjena granica Plana nije predmet transformacije Plana.</w:t>
      </w:r>
    </w:p>
    <w:p w14:paraId="5BEB2628" w14:textId="2002FCC7" w:rsidR="00BB0F35" w:rsidRDefault="00BB0F35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Obuhvat Plana prikazan je na Informacijskom sustavu prostornoga uređenja (</w:t>
      </w:r>
      <w:hyperlink r:id="rId6" w:history="1">
        <w:r w:rsidRPr="007E0FA6">
          <w:rPr>
            <w:rStyle w:val="Hiperveza"/>
            <w:rFonts w:ascii="Times New Roman" w:eastAsia="Times New Roman" w:hAnsi="Times New Roman" w:cs="Times New Roman"/>
            <w:sz w:val="24"/>
            <w:szCs w:val="24"/>
            <w:lang w:val="hr-HR" w:eastAsia="hr-HR"/>
          </w:rPr>
          <w:t>https://ispu.mgipu.hr/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.)</w:t>
      </w:r>
    </w:p>
    <w:p w14:paraId="4E0AFC51" w14:textId="77777777" w:rsidR="00BB0F35" w:rsidRDefault="00BB0F35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24B898FD" w14:textId="199966A0" w:rsidR="00BB0F35" w:rsidRPr="00BB0F35" w:rsidRDefault="00BB0F35" w:rsidP="00BB0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 w:rsidRPr="00BB0F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>Dinamika s fazama transformacije Plana</w:t>
      </w:r>
    </w:p>
    <w:p w14:paraId="570873D5" w14:textId="77777777" w:rsidR="003E29C6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5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60F5ECC9" w14:textId="77777777" w:rsidR="00BB0F35" w:rsidRPr="00EE3EEE" w:rsidRDefault="00BB0F35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678F4E74" w14:textId="77777777" w:rsidR="00BB0F35" w:rsidRDefault="00BB0F35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Za transformaciju Plana određuje se dinamika i faze transformacije Plana kako slijedi:</w:t>
      </w:r>
    </w:p>
    <w:p w14:paraId="7A509BA6" w14:textId="14D6BAB5" w:rsidR="003E29C6" w:rsidRDefault="00BB0F35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Faze izrade postupka transformacije Prostornog plana uređenja Općine Dekanovec iz ove Odluke utvrđene su Zakonom o prostornom uređenju („Narodne novine“ broj 153/13, 65/17, 114/18, 39/19, 98/19 i 67/23), točkom 6.6. „Postupak transformacije prostornih planova“. </w:t>
      </w:r>
      <w:r w:rsidR="003E29C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</w:t>
      </w:r>
    </w:p>
    <w:p w14:paraId="5CB155C9" w14:textId="2EBD0154" w:rsidR="007E16B4" w:rsidRDefault="007E16B4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Završetak postupka transformacije očekuje se najkasnije do 3</w:t>
      </w:r>
      <w:r w:rsidR="00BB15F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</w:t>
      </w:r>
      <w:r w:rsidR="00BB15F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.2025.</w:t>
      </w:r>
    </w:p>
    <w:p w14:paraId="0E7ABBB7" w14:textId="77777777" w:rsidR="00BB0F35" w:rsidRDefault="00BB0F35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45926B07" w14:textId="6DF7AA9D" w:rsidR="00BB0F35" w:rsidRPr="00BB0F35" w:rsidRDefault="00BB0F35" w:rsidP="00BB0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>Izvori financiranja transformacije Plana</w:t>
      </w:r>
    </w:p>
    <w:p w14:paraId="1D20B5CD" w14:textId="64791316" w:rsidR="00BB0F35" w:rsidRDefault="00BB0F35" w:rsidP="00BB0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6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0AEB2D2D" w14:textId="77777777" w:rsidR="00BB0F35" w:rsidRPr="00EE3EEE" w:rsidRDefault="00BB0F35" w:rsidP="00BB0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0F77952B" w14:textId="2B02437D" w:rsidR="00BB0F35" w:rsidRPr="00BB15FF" w:rsidRDefault="00BB15FF" w:rsidP="00BB0F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15FF">
        <w:rPr>
          <w:rFonts w:ascii="Times New Roman" w:hAnsi="Times New Roman" w:cs="Times New Roman"/>
          <w:sz w:val="24"/>
          <w:szCs w:val="24"/>
        </w:rPr>
        <w:t>Planira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BB15FF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BB15FF">
        <w:rPr>
          <w:rFonts w:ascii="Times New Roman" w:hAnsi="Times New Roman" w:cs="Times New Roman"/>
          <w:sz w:val="24"/>
          <w:szCs w:val="24"/>
        </w:rPr>
        <w:t>izradu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5FF">
        <w:rPr>
          <w:rFonts w:ascii="Times New Roman" w:hAnsi="Times New Roman" w:cs="Times New Roman"/>
          <w:sz w:val="24"/>
          <w:szCs w:val="24"/>
        </w:rPr>
        <w:t>postupka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5FF">
        <w:rPr>
          <w:rFonts w:ascii="Times New Roman" w:hAnsi="Times New Roman" w:cs="Times New Roman"/>
          <w:sz w:val="24"/>
          <w:szCs w:val="24"/>
        </w:rPr>
        <w:t>transformacije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 xml:space="preserve"> Plana </w:t>
      </w:r>
      <w:proofErr w:type="spellStart"/>
      <w:r w:rsidRPr="00BB15FF">
        <w:rPr>
          <w:rFonts w:ascii="Times New Roman" w:hAnsi="Times New Roman" w:cs="Times New Roman"/>
          <w:sz w:val="24"/>
          <w:szCs w:val="24"/>
        </w:rPr>
        <w:t>osigurati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5FF">
        <w:rPr>
          <w:rFonts w:ascii="Times New Roman" w:hAnsi="Times New Roman" w:cs="Times New Roman"/>
          <w:sz w:val="24"/>
          <w:szCs w:val="24"/>
        </w:rPr>
        <w:t>prijavom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BB15FF">
        <w:rPr>
          <w:rFonts w:ascii="Times New Roman" w:hAnsi="Times New Roman" w:cs="Times New Roman"/>
          <w:sz w:val="24"/>
          <w:szCs w:val="24"/>
        </w:rPr>
        <w:t>javni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5FF">
        <w:rPr>
          <w:rFonts w:ascii="Times New Roman" w:hAnsi="Times New Roman" w:cs="Times New Roman"/>
          <w:sz w:val="24"/>
          <w:szCs w:val="24"/>
        </w:rPr>
        <w:t>poziv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5FF">
        <w:rPr>
          <w:rFonts w:ascii="Times New Roman" w:hAnsi="Times New Roman" w:cs="Times New Roman"/>
          <w:sz w:val="24"/>
          <w:szCs w:val="24"/>
        </w:rPr>
        <w:t>Izrada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5FF">
        <w:rPr>
          <w:rFonts w:ascii="Times New Roman" w:hAnsi="Times New Roman" w:cs="Times New Roman"/>
          <w:sz w:val="24"/>
          <w:szCs w:val="24"/>
        </w:rPr>
        <w:t>prostornih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5FF">
        <w:rPr>
          <w:rFonts w:ascii="Times New Roman" w:hAnsi="Times New Roman" w:cs="Times New Roman"/>
          <w:sz w:val="24"/>
          <w:szCs w:val="24"/>
        </w:rPr>
        <w:t>planova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5FF">
        <w:rPr>
          <w:rFonts w:ascii="Times New Roman" w:hAnsi="Times New Roman" w:cs="Times New Roman"/>
          <w:sz w:val="24"/>
          <w:szCs w:val="24"/>
        </w:rPr>
        <w:t>nove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5FF">
        <w:rPr>
          <w:rFonts w:ascii="Times New Roman" w:hAnsi="Times New Roman" w:cs="Times New Roman"/>
          <w:sz w:val="24"/>
          <w:szCs w:val="24"/>
        </w:rPr>
        <w:t>generacije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5FF">
        <w:rPr>
          <w:rFonts w:ascii="Times New Roman" w:hAnsi="Times New Roman" w:cs="Times New Roman"/>
          <w:sz w:val="24"/>
          <w:szCs w:val="24"/>
        </w:rPr>
        <w:t>putem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5FF">
        <w:rPr>
          <w:rFonts w:ascii="Times New Roman" w:hAnsi="Times New Roman" w:cs="Times New Roman"/>
          <w:sz w:val="24"/>
          <w:szCs w:val="24"/>
        </w:rPr>
        <w:t>elektroničkog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5FF">
        <w:rPr>
          <w:rFonts w:ascii="Times New Roman" w:hAnsi="Times New Roman" w:cs="Times New Roman"/>
          <w:sz w:val="24"/>
          <w:szCs w:val="24"/>
        </w:rPr>
        <w:t>sustava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BB15FF">
        <w:rPr>
          <w:rFonts w:ascii="Times New Roman" w:hAnsi="Times New Roman" w:cs="Times New Roman"/>
          <w:sz w:val="24"/>
          <w:szCs w:val="24"/>
        </w:rPr>
        <w:t>ePlanovi</w:t>
      </w:r>
      <w:proofErr w:type="spellEnd"/>
      <w:r w:rsidRPr="00BB15FF">
        <w:rPr>
          <w:rFonts w:ascii="Times New Roman" w:hAnsi="Times New Roman" w:cs="Times New Roman"/>
          <w:sz w:val="24"/>
          <w:szCs w:val="24"/>
        </w:rPr>
        <w:t>".</w:t>
      </w:r>
    </w:p>
    <w:p w14:paraId="105602AC" w14:textId="77777777" w:rsidR="00BB15FF" w:rsidRDefault="00BB15FF" w:rsidP="00BB0F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72FC6072" w14:textId="2252864F" w:rsidR="00BB0F35" w:rsidRPr="00BB0F35" w:rsidRDefault="00BB0F35" w:rsidP="00BB0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>Druga pitanja značajna za transformaciju Plana</w:t>
      </w:r>
    </w:p>
    <w:p w14:paraId="570CEF65" w14:textId="72553AF4" w:rsidR="00BB0F35" w:rsidRDefault="00BB0F35" w:rsidP="00BB0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7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2648EACE" w14:textId="77777777" w:rsidR="00BB0F35" w:rsidRPr="00EE3EEE" w:rsidRDefault="00BB0F35" w:rsidP="00BB0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70CD76DB" w14:textId="62FF9C6B" w:rsidR="00BB0F35" w:rsidRDefault="00BB0F35" w:rsidP="00BB0F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Prije donošenja Odluke o provedenom postupku transformacije Plana, u skladu sa stavkom 10. članka 113.a Zakona, Nositelj izrade Plana, za transformirani Plan dužan je ishoditi pozitivno mišljenje nadležnog Zavoda za prostorno uređenje.</w:t>
      </w:r>
    </w:p>
    <w:p w14:paraId="13A52711" w14:textId="77777777" w:rsidR="00BB0F35" w:rsidRDefault="00BB0F35" w:rsidP="00BB0F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C9A0BAF" w14:textId="06C7369D" w:rsidR="00BB0F35" w:rsidRPr="00BB0F35" w:rsidRDefault="00BB0F35" w:rsidP="00BB0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>Prijelazne i završne odredbe</w:t>
      </w:r>
    </w:p>
    <w:p w14:paraId="5CBF0932" w14:textId="30AFB3A6" w:rsidR="00BB0F35" w:rsidRDefault="00BB0F35" w:rsidP="00BB0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8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27D0AE17" w14:textId="77777777" w:rsidR="00BB0F35" w:rsidRPr="00EE3EEE" w:rsidRDefault="00BB0F35" w:rsidP="00BB0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0BB3638D" w14:textId="2A64C216" w:rsidR="00BB0F35" w:rsidRDefault="00BB0F35" w:rsidP="00BB0F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Ova Odluka stupa na snagu osmog dana od dana objave u „Službenom glasniku Međimurske županije“.</w:t>
      </w:r>
    </w:p>
    <w:p w14:paraId="7BFEDEBA" w14:textId="77777777" w:rsidR="00BB0F35" w:rsidRDefault="00BB0F35" w:rsidP="00BB0F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28D096B4" w14:textId="77777777" w:rsidR="00BB0F35" w:rsidRDefault="00BB0F35" w:rsidP="00BB0F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64CEF791" w14:textId="77777777" w:rsidR="00BB0F35" w:rsidRDefault="00BB0F35" w:rsidP="00BB0F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6EF84596" w14:textId="77777777" w:rsidR="00BB0F35" w:rsidRDefault="00BB0F35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0EDA16CE" w14:textId="77777777" w:rsidR="00BB0F35" w:rsidRPr="00EE3EEE" w:rsidRDefault="00BB0F35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01703761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3D5EF992" w14:textId="04BA16C9" w:rsidR="003E29C6" w:rsidRPr="00EE3EEE" w:rsidRDefault="003E29C6" w:rsidP="003E29C6">
      <w:pPr>
        <w:ind w:left="4956" w:firstLine="708"/>
        <w:jc w:val="both"/>
        <w:rPr>
          <w:b/>
        </w:rPr>
      </w:pPr>
      <w:r w:rsidRPr="00EE3EEE">
        <w:rPr>
          <w:b/>
        </w:rPr>
        <w:t>P</w:t>
      </w:r>
      <w:r w:rsidR="003D067D">
        <w:rPr>
          <w:b/>
        </w:rPr>
        <w:t>REDSJEDNICA OPĆINSKOG VIJEĆA</w:t>
      </w:r>
    </w:p>
    <w:p w14:paraId="32A09E7B" w14:textId="76C014EA" w:rsidR="003E29C6" w:rsidRPr="00EE3EEE" w:rsidRDefault="003E29C6" w:rsidP="003E29C6">
      <w:pPr>
        <w:ind w:left="4248" w:firstLine="6"/>
        <w:rPr>
          <w:rFonts w:ascii="Century" w:hAnsi="Century"/>
          <w:sz w:val="18"/>
        </w:rPr>
      </w:pPr>
      <w:r w:rsidRPr="00EE3EEE">
        <w:rPr>
          <w:b/>
        </w:rPr>
        <w:t xml:space="preserve">                                     </w:t>
      </w:r>
      <w:r w:rsidR="00930C89">
        <w:rPr>
          <w:b/>
        </w:rPr>
        <w:t xml:space="preserve">  </w:t>
      </w:r>
      <w:r w:rsidRPr="00EE3EEE">
        <w:rPr>
          <w:b/>
        </w:rPr>
        <w:t xml:space="preserve">  Melani Baumgartner</w:t>
      </w:r>
      <w:r w:rsidRPr="00EE3EEE">
        <w:rPr>
          <w:bCs/>
        </w:rPr>
        <w:t xml:space="preserve">                                        </w:t>
      </w:r>
    </w:p>
    <w:p w14:paraId="53269C73" w14:textId="77777777" w:rsidR="003E29C6" w:rsidRDefault="003E29C6"/>
    <w:sectPr w:rsidR="003E29C6" w:rsidSect="00E70CB0">
      <w:pgSz w:w="12240" w:h="15840"/>
      <w:pgMar w:top="142" w:right="758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A67"/>
    <w:rsid w:val="00174A1A"/>
    <w:rsid w:val="003D067D"/>
    <w:rsid w:val="003E29C6"/>
    <w:rsid w:val="0062797F"/>
    <w:rsid w:val="006E5915"/>
    <w:rsid w:val="007E16B4"/>
    <w:rsid w:val="007E5A67"/>
    <w:rsid w:val="00825C3E"/>
    <w:rsid w:val="008A2812"/>
    <w:rsid w:val="00930C89"/>
    <w:rsid w:val="00966F53"/>
    <w:rsid w:val="009840A6"/>
    <w:rsid w:val="00BB0F35"/>
    <w:rsid w:val="00BB15FF"/>
    <w:rsid w:val="00CF4D2F"/>
    <w:rsid w:val="00D523B1"/>
    <w:rsid w:val="00DE630C"/>
    <w:rsid w:val="00E7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511A9"/>
  <w15:chartTrackingRefBased/>
  <w15:docId w15:val="{82D508AC-5F9A-4207-957B-CAF1AF65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9C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BB0F35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B0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spu.mgipu.hr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15</cp:revision>
  <cp:lastPrinted>2024-05-24T09:32:00Z</cp:lastPrinted>
  <dcterms:created xsi:type="dcterms:W3CDTF">2021-07-12T11:13:00Z</dcterms:created>
  <dcterms:modified xsi:type="dcterms:W3CDTF">2024-05-24T09:32:00Z</dcterms:modified>
</cp:coreProperties>
</file>